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8-e</w:t>
      </w:r>
      <w:r>
        <w:rPr>
          <w:b/>
          <w:i/>
          <w:sz w:val="28"/>
        </w:rPr>
        <w:tab/>
      </w:r>
      <w:r>
        <w:rPr>
          <w:rFonts w:hint="eastAsia"/>
          <w:b/>
          <w:i/>
          <w:sz w:val="28"/>
        </w:rPr>
        <w:t>R3-20</w:t>
      </w:r>
      <w:r>
        <w:rPr>
          <w:rFonts w:hint="eastAsia" w:eastAsia="宋体"/>
          <w:b/>
          <w:i/>
          <w:sz w:val="28"/>
          <w:lang w:val="en-US" w:eastAsia="zh-CN"/>
        </w:rPr>
        <w:t>3268</w:t>
      </w:r>
    </w:p>
    <w:p>
      <w:pPr>
        <w:pStyle w:val="81"/>
        <w:jc w:val="left"/>
        <w:outlineLvl w:val="0"/>
        <w:rPr>
          <w:rFonts w:hint="eastAsia"/>
          <w:b/>
          <w:sz w:val="24"/>
          <w:lang w:val="en-US" w:eastAsia="zh-CN"/>
        </w:rPr>
      </w:pPr>
      <w:r>
        <w:rPr>
          <w:rFonts w:hint="eastAsia"/>
          <w:b/>
          <w:sz w:val="24"/>
          <w:lang w:val="en-US" w:eastAsia="zh-CN"/>
        </w:rPr>
        <w:t xml:space="preserve">1-12 June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16.6</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Open Issues</w:t>
      </w:r>
      <w:r>
        <w:rPr>
          <w:rFonts w:hint="eastAsia" w:ascii="Arial" w:hAnsi="Arial"/>
          <w:sz w:val="24"/>
          <w:lang w:val="en-US"/>
        </w:rPr>
        <w:t xml:space="preserve"> of NPN on </w:t>
      </w:r>
      <w:r>
        <w:rPr>
          <w:rFonts w:hint="eastAsia" w:ascii="Arial" w:hAnsi="Arial" w:eastAsia="宋体"/>
          <w:sz w:val="24"/>
          <w:lang w:val="en-US" w:eastAsia="zh-CN"/>
        </w:rPr>
        <w:t>E1</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rPr>
          <w:rFonts w:hint="eastAsia"/>
          <w:sz w:val="21"/>
          <w:szCs w:val="22"/>
          <w:lang w:val="en-US" w:eastAsia="zh-CN"/>
        </w:rPr>
      </w:pPr>
      <w:r>
        <w:rPr>
          <w:rFonts w:hint="eastAsia" w:eastAsia="宋体"/>
          <w:lang w:val="en-US" w:eastAsia="zh-CN"/>
        </w:rPr>
        <w:t xml:space="preserve">1 </w:t>
      </w:r>
      <w:r>
        <w:t>Introduction</w:t>
      </w:r>
    </w:p>
    <w:p>
      <w:pPr>
        <w:jc w:val="left"/>
        <w:rPr>
          <w:rFonts w:hint="default"/>
          <w:sz w:val="21"/>
          <w:szCs w:val="22"/>
          <w:lang w:val="en-US" w:eastAsia="zh-CN"/>
        </w:rPr>
      </w:pPr>
      <w:r>
        <w:rPr>
          <w:rFonts w:hint="eastAsia"/>
          <w:sz w:val="21"/>
          <w:szCs w:val="22"/>
          <w:lang w:val="en-US" w:eastAsia="zh-CN"/>
        </w:rPr>
        <w:t>In the last RAN3#108e meeting, it was acknowledged that E1 bearer management procedures support indication of the NID. However, the PNI-NPN specific impacts and cause value on the E1 needs to be further discussed. In this contribution, we further discuss the open issue on E1 and providing the corresponding TP in [1] based on the BLCR [2] for TS38.463.</w:t>
      </w:r>
    </w:p>
    <w:p>
      <w:pPr>
        <w:pStyle w:val="2"/>
        <w:jc w:val="left"/>
        <w:rPr>
          <w:rFonts w:hint="eastAsia" w:eastAsia="宋体"/>
          <w:lang w:val="en-US" w:eastAsia="zh-CN"/>
        </w:rPr>
      </w:pPr>
      <w:r>
        <w:rPr>
          <w:rFonts w:hint="eastAsia" w:eastAsia="宋体"/>
          <w:lang w:val="en-US" w:eastAsia="zh-CN"/>
        </w:rPr>
        <w:t>2 Discussion</w:t>
      </w:r>
    </w:p>
    <w:p>
      <w:pPr>
        <w:pStyle w:val="3"/>
        <w:bidi w:val="0"/>
        <w:rPr>
          <w:rFonts w:hint="eastAsia"/>
          <w:lang w:val="en-US" w:eastAsia="zh-CN"/>
        </w:rPr>
      </w:pPr>
      <w:r>
        <w:rPr>
          <w:rFonts w:hint="eastAsia"/>
          <w:lang w:val="en-US" w:eastAsia="zh-CN"/>
        </w:rPr>
        <w:t>2.1 PNI-NPN Aspects</w:t>
      </w:r>
    </w:p>
    <w:p>
      <w:pPr>
        <w:jc w:val="both"/>
        <w:rPr>
          <w:rFonts w:hint="default"/>
          <w:lang w:val="en-US" w:eastAsia="zh-CN"/>
        </w:rPr>
      </w:pPr>
      <w:r>
        <w:rPr>
          <w:rFonts w:hint="eastAsia"/>
          <w:lang w:val="en-US" w:eastAsia="zh-CN"/>
        </w:rPr>
        <w:t xml:space="preserve">It has been acknowledged that SNPN support information is provided at E1 setup, and BLCR was updated accordingly. For the PNI-NPN aspects, a list of the supported CAG per PLMN configured by the gNB-CU-CP shall be sent to the gNB-CU-CP upon the similar reason as the SNPN.  The gNB-CU-CP would select the appropriate gNB-CU-UP according to the PNI-NPN support information indicated by the gNB-CU-CP and its allowed CAG list. </w:t>
      </w:r>
    </w:p>
    <w:p>
      <w:pPr>
        <w:jc w:val="left"/>
        <w:rPr>
          <w:rFonts w:hint="eastAsia"/>
          <w:b/>
          <w:bCs/>
          <w:sz w:val="21"/>
          <w:szCs w:val="22"/>
          <w:lang w:val="en-US" w:eastAsia="zh-CN"/>
        </w:rPr>
      </w:pPr>
      <w:r>
        <w:rPr>
          <w:rFonts w:hint="eastAsia"/>
          <w:b/>
          <w:bCs/>
          <w:sz w:val="21"/>
          <w:szCs w:val="22"/>
          <w:lang w:val="en-US" w:eastAsia="zh-CN"/>
        </w:rPr>
        <w:t>Proposal 1: The gNB-CU-UP shall provide the supported CAGs per PLMN to the gNB-CU-CP.</w:t>
      </w:r>
    </w:p>
    <w:p>
      <w:pPr>
        <w:jc w:val="left"/>
        <w:rPr>
          <w:rFonts w:hint="eastAsia"/>
          <w:b/>
          <w:bCs/>
          <w:sz w:val="21"/>
          <w:szCs w:val="22"/>
          <w:lang w:val="en-US" w:eastAsia="zh-CN"/>
        </w:rPr>
      </w:pPr>
    </w:p>
    <w:p>
      <w:pPr>
        <w:pStyle w:val="3"/>
        <w:bidi w:val="0"/>
        <w:rPr>
          <w:rFonts w:hint="default"/>
          <w:lang w:val="en-US" w:eastAsia="zh-CN"/>
        </w:rPr>
      </w:pPr>
      <w:r>
        <w:rPr>
          <w:rFonts w:hint="eastAsia"/>
          <w:lang w:val="en-US" w:eastAsia="zh-CN"/>
        </w:rPr>
        <w:t>2.2 Cause Value</w:t>
      </w:r>
    </w:p>
    <w:p>
      <w:pPr>
        <w:jc w:val="both"/>
        <w:rPr>
          <w:rFonts w:hint="default"/>
          <w:sz w:val="21"/>
          <w:szCs w:val="22"/>
          <w:lang w:val="en-US" w:eastAsia="zh-CN"/>
        </w:rPr>
      </w:pPr>
      <w:r>
        <w:rPr>
          <w:rFonts w:hint="eastAsia"/>
          <w:sz w:val="21"/>
          <w:szCs w:val="22"/>
          <w:lang w:val="en-US" w:eastAsia="zh-CN"/>
        </w:rPr>
        <w:t>In the last RAN3#107bis-e meeting,  it was concluded that whether to introduce cause values over E1 for E1 setup failure need to further discussed. It</w:t>
      </w:r>
      <w:r>
        <w:rPr>
          <w:rFonts w:hint="default"/>
          <w:sz w:val="21"/>
          <w:szCs w:val="22"/>
          <w:lang w:val="en-US" w:eastAsia="zh-CN"/>
        </w:rPr>
        <w:t>’</w:t>
      </w:r>
      <w:r>
        <w:rPr>
          <w:rFonts w:hint="eastAsia"/>
          <w:sz w:val="21"/>
          <w:szCs w:val="22"/>
          <w:lang w:val="en-US" w:eastAsia="zh-CN"/>
        </w:rPr>
        <w:t xml:space="preserve">s positive for us to introduce the cause value, i.e, </w:t>
      </w:r>
      <w:r>
        <w:rPr>
          <w:rFonts w:hint="default"/>
          <w:sz w:val="21"/>
          <w:szCs w:val="22"/>
          <w:lang w:val="en-US" w:eastAsia="zh-CN"/>
        </w:rPr>
        <w:t>“</w:t>
      </w:r>
      <w:r>
        <w:rPr>
          <w:rFonts w:hint="eastAsia"/>
          <w:sz w:val="21"/>
          <w:szCs w:val="22"/>
          <w:lang w:val="en-US" w:eastAsia="zh-CN"/>
        </w:rPr>
        <w:t>SNPN not supported</w:t>
      </w:r>
      <w:r>
        <w:rPr>
          <w:rFonts w:hint="default"/>
          <w:sz w:val="21"/>
          <w:szCs w:val="22"/>
          <w:lang w:val="en-US" w:eastAsia="zh-CN"/>
        </w:rPr>
        <w:t>”</w:t>
      </w:r>
      <w:r>
        <w:rPr>
          <w:rFonts w:hint="eastAsia"/>
          <w:sz w:val="21"/>
          <w:szCs w:val="22"/>
          <w:lang w:val="en-US" w:eastAsia="zh-CN"/>
        </w:rPr>
        <w:t xml:space="preserve"> and </w:t>
      </w:r>
      <w:r>
        <w:rPr>
          <w:rFonts w:hint="default"/>
          <w:sz w:val="21"/>
          <w:szCs w:val="22"/>
          <w:lang w:val="en-US" w:eastAsia="zh-CN"/>
        </w:rPr>
        <w:t>“</w:t>
      </w:r>
      <w:r>
        <w:rPr>
          <w:rFonts w:hint="eastAsia"/>
          <w:sz w:val="21"/>
          <w:szCs w:val="22"/>
          <w:lang w:val="en-US" w:eastAsia="zh-CN"/>
        </w:rPr>
        <w:t>CAG not supported</w:t>
      </w:r>
      <w:r>
        <w:rPr>
          <w:rFonts w:hint="default"/>
          <w:sz w:val="21"/>
          <w:szCs w:val="22"/>
          <w:lang w:val="en-US" w:eastAsia="zh-CN"/>
        </w:rPr>
        <w:t>”</w:t>
      </w:r>
      <w:r>
        <w:rPr>
          <w:rFonts w:hint="eastAsia"/>
          <w:sz w:val="21"/>
          <w:szCs w:val="22"/>
          <w:lang w:val="en-US" w:eastAsia="zh-CN"/>
        </w:rPr>
        <w:t xml:space="preserve"> for E1 setup failure case. For SNPN case, the E1 interface will be not established if there is no common NIDs between the gNB-CU-CP and gNB-CU-UP, namely </w:t>
      </w:r>
      <w:r>
        <w:rPr>
          <w:rFonts w:hint="eastAsia"/>
          <w:sz w:val="21"/>
          <w:szCs w:val="22"/>
          <w:highlight w:val="none"/>
          <w:lang w:val="en-US" w:eastAsia="zh-CN"/>
        </w:rPr>
        <w:t xml:space="preserve">the received NIDs </w:t>
      </w:r>
      <w:bookmarkStart w:id="3" w:name="_GoBack"/>
      <w:bookmarkEnd w:id="3"/>
      <w:r>
        <w:rPr>
          <w:rFonts w:hint="eastAsia"/>
          <w:sz w:val="21"/>
          <w:szCs w:val="22"/>
          <w:highlight w:val="none"/>
          <w:lang w:val="en-US" w:eastAsia="zh-CN"/>
        </w:rPr>
        <w:t>from gNB-CU-UP may not be recognized by the gNB-CU-CP</w:t>
      </w:r>
      <w:r>
        <w:rPr>
          <w:rFonts w:hint="eastAsia"/>
          <w:sz w:val="21"/>
          <w:szCs w:val="22"/>
          <w:lang w:val="en-US" w:eastAsia="zh-CN"/>
        </w:rPr>
        <w:t xml:space="preserve">. For the PNI-NPN case with the same reason as the SNPN, </w:t>
      </w:r>
      <w:r>
        <w:rPr>
          <w:rFonts w:hint="eastAsia"/>
          <w:sz w:val="21"/>
          <w:szCs w:val="22"/>
          <w:highlight w:val="none"/>
          <w:lang w:val="en-US" w:eastAsia="zh-CN"/>
        </w:rPr>
        <w:t>the  gNB-CU-CP shall response a E1 SETUP FAILURE with an appropriate cause value.</w:t>
      </w:r>
    </w:p>
    <w:p>
      <w:pPr>
        <w:jc w:val="left"/>
        <w:rPr>
          <w:rFonts w:hint="default"/>
          <w:b/>
          <w:bCs/>
          <w:sz w:val="21"/>
          <w:szCs w:val="22"/>
          <w:lang w:val="en-US" w:eastAsia="zh-CN"/>
        </w:rPr>
      </w:pPr>
      <w:r>
        <w:rPr>
          <w:rFonts w:hint="eastAsia"/>
          <w:b/>
          <w:bCs/>
          <w:sz w:val="21"/>
          <w:szCs w:val="22"/>
          <w:lang w:val="en-US" w:eastAsia="zh-CN"/>
        </w:rPr>
        <w:t xml:space="preserve">Proposal 2:  Add new E1 cause value i.e., </w:t>
      </w:r>
      <w:r>
        <w:rPr>
          <w:rFonts w:hint="default"/>
          <w:b/>
          <w:bCs/>
          <w:sz w:val="21"/>
          <w:szCs w:val="22"/>
          <w:lang w:val="en-US" w:eastAsia="zh-CN"/>
        </w:rPr>
        <w:t>“</w:t>
      </w:r>
      <w:r>
        <w:rPr>
          <w:rFonts w:hint="eastAsia"/>
          <w:b/>
          <w:bCs/>
          <w:sz w:val="21"/>
          <w:szCs w:val="22"/>
          <w:lang w:val="en-US" w:eastAsia="zh-CN"/>
        </w:rPr>
        <w:t>SNPN not supported</w:t>
      </w:r>
      <w:r>
        <w:rPr>
          <w:rFonts w:hint="default"/>
          <w:b/>
          <w:bCs/>
          <w:sz w:val="21"/>
          <w:szCs w:val="22"/>
          <w:lang w:val="en-US" w:eastAsia="zh-CN"/>
        </w:rPr>
        <w:t>”</w:t>
      </w:r>
      <w:r>
        <w:rPr>
          <w:rFonts w:hint="eastAsia"/>
          <w:b/>
          <w:bCs/>
          <w:sz w:val="21"/>
          <w:szCs w:val="22"/>
          <w:lang w:val="en-US" w:eastAsia="zh-CN"/>
        </w:rPr>
        <w:t xml:space="preserve">, </w:t>
      </w:r>
      <w:r>
        <w:rPr>
          <w:rFonts w:hint="default"/>
          <w:b/>
          <w:bCs/>
          <w:sz w:val="21"/>
          <w:szCs w:val="22"/>
          <w:lang w:val="en-US" w:eastAsia="zh-CN"/>
        </w:rPr>
        <w:t>“</w:t>
      </w:r>
      <w:r>
        <w:rPr>
          <w:rFonts w:hint="eastAsia"/>
          <w:b/>
          <w:bCs/>
          <w:sz w:val="21"/>
          <w:szCs w:val="22"/>
          <w:lang w:val="en-US" w:eastAsia="zh-CN"/>
        </w:rPr>
        <w:t>CAG not supported</w:t>
      </w:r>
      <w:r>
        <w:rPr>
          <w:rFonts w:hint="default"/>
          <w:b/>
          <w:bCs/>
          <w:sz w:val="21"/>
          <w:szCs w:val="22"/>
          <w:lang w:val="en-US" w:eastAsia="zh-CN"/>
        </w:rPr>
        <w:t>”</w:t>
      </w:r>
      <w:r>
        <w:rPr>
          <w:rFonts w:hint="eastAsia"/>
          <w:b/>
          <w:bCs/>
          <w:sz w:val="21"/>
          <w:szCs w:val="22"/>
          <w:lang w:val="en-US" w:eastAsia="zh-CN"/>
        </w:rPr>
        <w:t xml:space="preserve"> for E1 setup failure case.</w:t>
      </w:r>
    </w:p>
    <w:p>
      <w:pPr>
        <w:pStyle w:val="2"/>
        <w:rPr>
          <w:lang w:val="en-US"/>
        </w:rPr>
      </w:pPr>
      <w:r>
        <w:rPr>
          <w:rFonts w:hint="eastAsia"/>
          <w:lang w:val="en-US" w:eastAsia="zh-CN"/>
        </w:rPr>
        <w:t xml:space="preserve">3 </w:t>
      </w:r>
      <w:r>
        <w:rPr>
          <w:rFonts w:hint="eastAsia" w:eastAsia="宋体"/>
          <w:lang w:val="en-US" w:eastAsia="zh-CN"/>
        </w:rPr>
        <w:t>Conclusions</w:t>
      </w:r>
    </w:p>
    <w:p>
      <w:pPr>
        <w:jc w:val="left"/>
        <w:rPr>
          <w:rFonts w:hint="eastAsia"/>
          <w:sz w:val="21"/>
          <w:szCs w:val="22"/>
          <w:lang w:val="en-US" w:eastAsia="zh-CN"/>
        </w:rPr>
      </w:pPr>
      <w:r>
        <w:rPr>
          <w:rFonts w:hint="eastAsia"/>
          <w:b/>
          <w:bCs/>
          <w:sz w:val="21"/>
          <w:szCs w:val="22"/>
          <w:lang w:val="en-US" w:eastAsia="zh-CN"/>
        </w:rPr>
        <w:t>Proposal 1:  The gNB-CU-UP shall provide the supported NIDs/CAG IDs per PLMN to gNB-CU-CP via E1AP</w:t>
      </w:r>
      <w:r>
        <w:rPr>
          <w:rFonts w:hint="eastAsia"/>
          <w:sz w:val="21"/>
          <w:szCs w:val="22"/>
          <w:lang w:val="en-US" w:eastAsia="zh-CN"/>
        </w:rPr>
        <w:t>.</w:t>
      </w:r>
    </w:p>
    <w:p>
      <w:pPr>
        <w:jc w:val="left"/>
        <w:rPr>
          <w:rFonts w:hint="eastAsia"/>
          <w:b/>
          <w:bCs/>
          <w:sz w:val="21"/>
          <w:szCs w:val="22"/>
          <w:lang w:val="en-US" w:eastAsia="zh-CN"/>
        </w:rPr>
      </w:pPr>
      <w:r>
        <w:rPr>
          <w:rFonts w:hint="eastAsia"/>
          <w:b/>
          <w:bCs/>
          <w:sz w:val="21"/>
          <w:szCs w:val="22"/>
          <w:lang w:val="en-US" w:eastAsia="zh-CN"/>
        </w:rPr>
        <w:t xml:space="preserve">Proposal 2:  Add new E1 cause value i.e., </w:t>
      </w:r>
      <w:r>
        <w:rPr>
          <w:rFonts w:hint="default"/>
          <w:b/>
          <w:bCs/>
          <w:sz w:val="21"/>
          <w:szCs w:val="22"/>
          <w:lang w:val="en-US" w:eastAsia="zh-CN"/>
        </w:rPr>
        <w:t>“</w:t>
      </w:r>
      <w:r>
        <w:rPr>
          <w:rFonts w:hint="eastAsia"/>
          <w:b/>
          <w:bCs/>
          <w:sz w:val="21"/>
          <w:szCs w:val="22"/>
          <w:lang w:val="en-US" w:eastAsia="zh-CN"/>
        </w:rPr>
        <w:t>SNPN not supported</w:t>
      </w:r>
      <w:r>
        <w:rPr>
          <w:rFonts w:hint="default"/>
          <w:b/>
          <w:bCs/>
          <w:sz w:val="21"/>
          <w:szCs w:val="22"/>
          <w:lang w:val="en-US" w:eastAsia="zh-CN"/>
        </w:rPr>
        <w:t>”</w:t>
      </w:r>
      <w:r>
        <w:rPr>
          <w:rFonts w:hint="eastAsia"/>
          <w:b/>
          <w:bCs/>
          <w:sz w:val="21"/>
          <w:szCs w:val="22"/>
          <w:lang w:val="en-US" w:eastAsia="zh-CN"/>
        </w:rPr>
        <w:t xml:space="preserve">, </w:t>
      </w:r>
      <w:r>
        <w:rPr>
          <w:rFonts w:hint="default"/>
          <w:b/>
          <w:bCs/>
          <w:sz w:val="21"/>
          <w:szCs w:val="22"/>
          <w:lang w:val="en-US" w:eastAsia="zh-CN"/>
        </w:rPr>
        <w:t>“</w:t>
      </w:r>
      <w:r>
        <w:rPr>
          <w:rFonts w:hint="eastAsia"/>
          <w:b/>
          <w:bCs/>
          <w:sz w:val="21"/>
          <w:szCs w:val="22"/>
          <w:lang w:val="en-US" w:eastAsia="zh-CN"/>
        </w:rPr>
        <w:t>CAG not supported</w:t>
      </w:r>
      <w:r>
        <w:rPr>
          <w:rFonts w:hint="default"/>
          <w:b/>
          <w:bCs/>
          <w:sz w:val="21"/>
          <w:szCs w:val="22"/>
          <w:lang w:val="en-US" w:eastAsia="zh-CN"/>
        </w:rPr>
        <w:t>”</w:t>
      </w:r>
      <w:r>
        <w:rPr>
          <w:rFonts w:hint="eastAsia"/>
          <w:b/>
          <w:bCs/>
          <w:sz w:val="21"/>
          <w:szCs w:val="22"/>
          <w:lang w:val="en-US" w:eastAsia="zh-CN"/>
        </w:rPr>
        <w:t xml:space="preserve"> for E1 setup failure case.</w:t>
      </w:r>
    </w:p>
    <w:bookmarkEnd w:id="0"/>
    <w:p>
      <w:pPr>
        <w:pStyle w:val="2"/>
        <w:rPr>
          <w:lang w:val="en-US"/>
        </w:rPr>
      </w:pPr>
      <w:r>
        <w:rPr>
          <w:rFonts w:hint="eastAsia" w:eastAsia="宋体"/>
          <w:lang w:val="en-US" w:eastAsia="zh-CN"/>
        </w:rPr>
        <w:t xml:space="preserve">4 </w:t>
      </w:r>
      <w:r>
        <w:rPr>
          <w:lang w:val="en-US"/>
        </w:rPr>
        <w:t>References</w:t>
      </w:r>
    </w:p>
    <w:p>
      <w:pPr>
        <w:numPr>
          <w:ilvl w:val="0"/>
          <w:numId w:val="1"/>
        </w:numPr>
        <w:rPr>
          <w:lang w:val="en-US" w:eastAsia="zh-CN"/>
        </w:rPr>
      </w:pPr>
      <w:r>
        <w:rPr>
          <w:rFonts w:hint="eastAsia"/>
          <w:lang w:val="en-US" w:eastAsia="zh-CN"/>
        </w:rPr>
        <w:t>R3-203269, TP for NPN support to TS38.463,  ZTE</w:t>
      </w:r>
    </w:p>
    <w:p>
      <w:pPr>
        <w:numPr>
          <w:ilvl w:val="0"/>
          <w:numId w:val="1"/>
        </w:numPr>
      </w:pPr>
      <w:r>
        <w:rPr>
          <w:rFonts w:hint="eastAsia"/>
          <w:lang w:val="en-US" w:eastAsia="zh-CN"/>
        </w:rPr>
        <w:t>R3-203063,</w:t>
      </w:r>
      <w:r>
        <w:rPr>
          <w:lang w:val="en-US" w:eastAsia="zh-CN"/>
        </w:rPr>
        <w:t xml:space="preserve"> </w:t>
      </w:r>
      <w:r>
        <w:rPr>
          <w:rFonts w:hint="eastAsia"/>
          <w:lang w:val="en-US" w:eastAsia="zh-CN"/>
        </w:rPr>
        <w:t>BLCR for TS38.463 on NPN</w:t>
      </w:r>
      <w:r>
        <w:rPr>
          <w:lang w:val="en-US" w:eastAsia="zh-CN"/>
        </w:rPr>
        <w:t xml:space="preserve">, </w:t>
      </w:r>
      <w:r>
        <w:rPr>
          <w:rFonts w:hint="eastAsia"/>
          <w:lang w:val="en-US" w:eastAsia="zh-CN"/>
        </w:rPr>
        <w:t>ZTE</w:t>
      </w:r>
    </w:p>
    <w:p>
      <w:pPr>
        <w:numPr>
          <w:ilvl w:val="0"/>
          <w:numId w:val="0"/>
        </w:numPr>
        <w:spacing w:after="180"/>
        <w:rPr>
          <w:rFonts w:hint="eastAsia"/>
          <w:lang w:val="en-US" w:eastAsia="zh-CN"/>
        </w:rPr>
      </w:pPr>
    </w:p>
    <w:sectPr>
      <w:headerReference r:id="rId3" w:type="default"/>
      <w:footnotePr>
        <w:numRestart w:val="eachSect"/>
      </w:footnotePr>
      <w:pgSz w:w="11907" w:h="16840"/>
      <w:pgMar w:top="1134" w:right="1134" w:bottom="1134" w:left="1417"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B6386"/>
    <w:rsid w:val="01384E9B"/>
    <w:rsid w:val="01430CF6"/>
    <w:rsid w:val="01A769BE"/>
    <w:rsid w:val="01D42E54"/>
    <w:rsid w:val="01E90DD7"/>
    <w:rsid w:val="0203196A"/>
    <w:rsid w:val="02280562"/>
    <w:rsid w:val="028E31DC"/>
    <w:rsid w:val="029A117B"/>
    <w:rsid w:val="02D06A69"/>
    <w:rsid w:val="02D62E96"/>
    <w:rsid w:val="02E474A2"/>
    <w:rsid w:val="03136503"/>
    <w:rsid w:val="0357448C"/>
    <w:rsid w:val="035A6813"/>
    <w:rsid w:val="03860CFE"/>
    <w:rsid w:val="03997478"/>
    <w:rsid w:val="03A43393"/>
    <w:rsid w:val="03E9542E"/>
    <w:rsid w:val="03F9563E"/>
    <w:rsid w:val="04471F81"/>
    <w:rsid w:val="0478358B"/>
    <w:rsid w:val="04987B67"/>
    <w:rsid w:val="04B54FE4"/>
    <w:rsid w:val="04E715AF"/>
    <w:rsid w:val="05072224"/>
    <w:rsid w:val="05187811"/>
    <w:rsid w:val="051C4B64"/>
    <w:rsid w:val="05251111"/>
    <w:rsid w:val="05257D35"/>
    <w:rsid w:val="05257D94"/>
    <w:rsid w:val="053843F3"/>
    <w:rsid w:val="057A5063"/>
    <w:rsid w:val="057B5C45"/>
    <w:rsid w:val="059B56C3"/>
    <w:rsid w:val="05B30409"/>
    <w:rsid w:val="05BA22DF"/>
    <w:rsid w:val="060A3235"/>
    <w:rsid w:val="060F67DC"/>
    <w:rsid w:val="06980ED9"/>
    <w:rsid w:val="06A05AA7"/>
    <w:rsid w:val="06E148BF"/>
    <w:rsid w:val="071B088B"/>
    <w:rsid w:val="0735688F"/>
    <w:rsid w:val="077562BE"/>
    <w:rsid w:val="07822854"/>
    <w:rsid w:val="07FF5C39"/>
    <w:rsid w:val="080675BB"/>
    <w:rsid w:val="08272271"/>
    <w:rsid w:val="084D3BAE"/>
    <w:rsid w:val="08535456"/>
    <w:rsid w:val="086A03D3"/>
    <w:rsid w:val="08776E24"/>
    <w:rsid w:val="088D690D"/>
    <w:rsid w:val="08A919A6"/>
    <w:rsid w:val="08FA38CA"/>
    <w:rsid w:val="090E2039"/>
    <w:rsid w:val="091A0545"/>
    <w:rsid w:val="096E42F3"/>
    <w:rsid w:val="097A3796"/>
    <w:rsid w:val="0A1C18BF"/>
    <w:rsid w:val="0A5207DA"/>
    <w:rsid w:val="0A96466D"/>
    <w:rsid w:val="0B8536F6"/>
    <w:rsid w:val="0BD20EF3"/>
    <w:rsid w:val="0BF91E54"/>
    <w:rsid w:val="0C053C35"/>
    <w:rsid w:val="0C1408CA"/>
    <w:rsid w:val="0C790789"/>
    <w:rsid w:val="0C981416"/>
    <w:rsid w:val="0CC109D3"/>
    <w:rsid w:val="0CD003BF"/>
    <w:rsid w:val="0D0A047B"/>
    <w:rsid w:val="0D2D0833"/>
    <w:rsid w:val="0D2F001A"/>
    <w:rsid w:val="0D385790"/>
    <w:rsid w:val="0D697831"/>
    <w:rsid w:val="0DC200A7"/>
    <w:rsid w:val="0DC47042"/>
    <w:rsid w:val="0DFC096E"/>
    <w:rsid w:val="0E025387"/>
    <w:rsid w:val="0E071156"/>
    <w:rsid w:val="0E292F44"/>
    <w:rsid w:val="0E306CD5"/>
    <w:rsid w:val="0E5B3E59"/>
    <w:rsid w:val="0E8321E7"/>
    <w:rsid w:val="0E8E16F5"/>
    <w:rsid w:val="0EE14D00"/>
    <w:rsid w:val="0F06219A"/>
    <w:rsid w:val="0F284931"/>
    <w:rsid w:val="0F2A645F"/>
    <w:rsid w:val="0F48525E"/>
    <w:rsid w:val="0F5204A8"/>
    <w:rsid w:val="0FDF6CB2"/>
    <w:rsid w:val="104F210C"/>
    <w:rsid w:val="105471E8"/>
    <w:rsid w:val="10A16DB1"/>
    <w:rsid w:val="10C257B5"/>
    <w:rsid w:val="10D434AF"/>
    <w:rsid w:val="1179543E"/>
    <w:rsid w:val="11821BE0"/>
    <w:rsid w:val="11FA7E34"/>
    <w:rsid w:val="12236466"/>
    <w:rsid w:val="12A371CA"/>
    <w:rsid w:val="12FD2C50"/>
    <w:rsid w:val="130B7383"/>
    <w:rsid w:val="138D0D4D"/>
    <w:rsid w:val="139B02B3"/>
    <w:rsid w:val="142529AD"/>
    <w:rsid w:val="144F1371"/>
    <w:rsid w:val="147F0D76"/>
    <w:rsid w:val="14B8504C"/>
    <w:rsid w:val="14C544A8"/>
    <w:rsid w:val="14EB59B8"/>
    <w:rsid w:val="150B0625"/>
    <w:rsid w:val="151B242E"/>
    <w:rsid w:val="1579737C"/>
    <w:rsid w:val="15A2005E"/>
    <w:rsid w:val="15AC2696"/>
    <w:rsid w:val="15B946C7"/>
    <w:rsid w:val="15DB0334"/>
    <w:rsid w:val="15F804EE"/>
    <w:rsid w:val="16241BFA"/>
    <w:rsid w:val="16276EC5"/>
    <w:rsid w:val="16410B97"/>
    <w:rsid w:val="166451AF"/>
    <w:rsid w:val="168F6CF4"/>
    <w:rsid w:val="16C17884"/>
    <w:rsid w:val="16FD5761"/>
    <w:rsid w:val="171E0DD6"/>
    <w:rsid w:val="17267395"/>
    <w:rsid w:val="17623083"/>
    <w:rsid w:val="179C1537"/>
    <w:rsid w:val="17C64EE4"/>
    <w:rsid w:val="18DA5DE1"/>
    <w:rsid w:val="18DE2FB1"/>
    <w:rsid w:val="18F74035"/>
    <w:rsid w:val="19594402"/>
    <w:rsid w:val="196C5D0D"/>
    <w:rsid w:val="1979353C"/>
    <w:rsid w:val="19971A1F"/>
    <w:rsid w:val="19B23DBC"/>
    <w:rsid w:val="19CC14DF"/>
    <w:rsid w:val="1A711C92"/>
    <w:rsid w:val="1AA53FF8"/>
    <w:rsid w:val="1ABC6799"/>
    <w:rsid w:val="1AF81D11"/>
    <w:rsid w:val="1B585EE6"/>
    <w:rsid w:val="1B66142A"/>
    <w:rsid w:val="1B6D20F7"/>
    <w:rsid w:val="1B872DA4"/>
    <w:rsid w:val="1B9768FF"/>
    <w:rsid w:val="1BA452D4"/>
    <w:rsid w:val="1BDC4F65"/>
    <w:rsid w:val="1C170993"/>
    <w:rsid w:val="1C272F2E"/>
    <w:rsid w:val="1C382884"/>
    <w:rsid w:val="1C401D60"/>
    <w:rsid w:val="1C4747EB"/>
    <w:rsid w:val="1C4B0594"/>
    <w:rsid w:val="1C6D61CE"/>
    <w:rsid w:val="1C871A38"/>
    <w:rsid w:val="1CB64E5E"/>
    <w:rsid w:val="1CBE2BC0"/>
    <w:rsid w:val="1CD86F30"/>
    <w:rsid w:val="1CE13F6D"/>
    <w:rsid w:val="1CF473F4"/>
    <w:rsid w:val="1D24511D"/>
    <w:rsid w:val="1D603BAB"/>
    <w:rsid w:val="1D6E62BB"/>
    <w:rsid w:val="1D6F2DEF"/>
    <w:rsid w:val="1DA44CA0"/>
    <w:rsid w:val="1DDD3DBF"/>
    <w:rsid w:val="1DE92239"/>
    <w:rsid w:val="1DFE4C9A"/>
    <w:rsid w:val="1E0357FA"/>
    <w:rsid w:val="1E057760"/>
    <w:rsid w:val="1E1E0461"/>
    <w:rsid w:val="1E4C3573"/>
    <w:rsid w:val="1E9961A0"/>
    <w:rsid w:val="1E9C12D3"/>
    <w:rsid w:val="1E9C70F0"/>
    <w:rsid w:val="1EA226DE"/>
    <w:rsid w:val="1EB420A8"/>
    <w:rsid w:val="1EBE5788"/>
    <w:rsid w:val="1EEF75C3"/>
    <w:rsid w:val="1FA547E6"/>
    <w:rsid w:val="1FB67B16"/>
    <w:rsid w:val="1FB712F8"/>
    <w:rsid w:val="1FE2167D"/>
    <w:rsid w:val="1FF65967"/>
    <w:rsid w:val="202D3E86"/>
    <w:rsid w:val="203166AC"/>
    <w:rsid w:val="207B29D1"/>
    <w:rsid w:val="209E3E4A"/>
    <w:rsid w:val="20B36FBA"/>
    <w:rsid w:val="20C92B81"/>
    <w:rsid w:val="2131439D"/>
    <w:rsid w:val="21696FAA"/>
    <w:rsid w:val="219C09EA"/>
    <w:rsid w:val="21B35C0D"/>
    <w:rsid w:val="21B470CE"/>
    <w:rsid w:val="224F56C5"/>
    <w:rsid w:val="22A36140"/>
    <w:rsid w:val="22BC014D"/>
    <w:rsid w:val="22BD544B"/>
    <w:rsid w:val="22CA1B8D"/>
    <w:rsid w:val="23AD30D6"/>
    <w:rsid w:val="23E07A9B"/>
    <w:rsid w:val="23F83184"/>
    <w:rsid w:val="240645CD"/>
    <w:rsid w:val="243A158D"/>
    <w:rsid w:val="24527B67"/>
    <w:rsid w:val="245A5415"/>
    <w:rsid w:val="24610903"/>
    <w:rsid w:val="24BA455A"/>
    <w:rsid w:val="24C1377D"/>
    <w:rsid w:val="255B4177"/>
    <w:rsid w:val="2581456B"/>
    <w:rsid w:val="2584615A"/>
    <w:rsid w:val="259D4858"/>
    <w:rsid w:val="25F15C7A"/>
    <w:rsid w:val="26023D03"/>
    <w:rsid w:val="26287666"/>
    <w:rsid w:val="263C457D"/>
    <w:rsid w:val="26601673"/>
    <w:rsid w:val="26D438AA"/>
    <w:rsid w:val="26DA3A82"/>
    <w:rsid w:val="26F53552"/>
    <w:rsid w:val="26F6287B"/>
    <w:rsid w:val="270825F3"/>
    <w:rsid w:val="27A133F1"/>
    <w:rsid w:val="27BA3FE5"/>
    <w:rsid w:val="27D9645B"/>
    <w:rsid w:val="28240E68"/>
    <w:rsid w:val="283429E0"/>
    <w:rsid w:val="284816F9"/>
    <w:rsid w:val="2860457D"/>
    <w:rsid w:val="288A27C4"/>
    <w:rsid w:val="29063993"/>
    <w:rsid w:val="293B4851"/>
    <w:rsid w:val="29503E11"/>
    <w:rsid w:val="29576282"/>
    <w:rsid w:val="29993CEE"/>
    <w:rsid w:val="29BE4F9C"/>
    <w:rsid w:val="29D33B57"/>
    <w:rsid w:val="29E34A90"/>
    <w:rsid w:val="2A0C3EEE"/>
    <w:rsid w:val="2A280B7B"/>
    <w:rsid w:val="2A3A1767"/>
    <w:rsid w:val="2A5E21BB"/>
    <w:rsid w:val="2AEB7D10"/>
    <w:rsid w:val="2B275A36"/>
    <w:rsid w:val="2B2D61A4"/>
    <w:rsid w:val="2B382359"/>
    <w:rsid w:val="2B861C88"/>
    <w:rsid w:val="2B900D00"/>
    <w:rsid w:val="2B99777B"/>
    <w:rsid w:val="2B9A6EB6"/>
    <w:rsid w:val="2BBA7F13"/>
    <w:rsid w:val="2BC82E55"/>
    <w:rsid w:val="2C3B6799"/>
    <w:rsid w:val="2C50244A"/>
    <w:rsid w:val="2CA835E4"/>
    <w:rsid w:val="2CD915BA"/>
    <w:rsid w:val="2D466139"/>
    <w:rsid w:val="2D765B06"/>
    <w:rsid w:val="2D971FAE"/>
    <w:rsid w:val="2DD1314A"/>
    <w:rsid w:val="2DFC780C"/>
    <w:rsid w:val="2E1347DD"/>
    <w:rsid w:val="2E30778E"/>
    <w:rsid w:val="2E4437D9"/>
    <w:rsid w:val="2E664F9F"/>
    <w:rsid w:val="2E6B7259"/>
    <w:rsid w:val="2E824C2D"/>
    <w:rsid w:val="2E8A37F1"/>
    <w:rsid w:val="2EE66A4F"/>
    <w:rsid w:val="2EF7078A"/>
    <w:rsid w:val="2F2341ED"/>
    <w:rsid w:val="2F2528E0"/>
    <w:rsid w:val="2F8F5975"/>
    <w:rsid w:val="30296FA3"/>
    <w:rsid w:val="30342B25"/>
    <w:rsid w:val="30F6128F"/>
    <w:rsid w:val="314D1921"/>
    <w:rsid w:val="316108B2"/>
    <w:rsid w:val="316959BA"/>
    <w:rsid w:val="31E0657A"/>
    <w:rsid w:val="324873FA"/>
    <w:rsid w:val="326C560D"/>
    <w:rsid w:val="327C76FA"/>
    <w:rsid w:val="33103370"/>
    <w:rsid w:val="335E234A"/>
    <w:rsid w:val="336C6EA3"/>
    <w:rsid w:val="33867CC5"/>
    <w:rsid w:val="33AB2542"/>
    <w:rsid w:val="33D52C44"/>
    <w:rsid w:val="340442EB"/>
    <w:rsid w:val="347B137E"/>
    <w:rsid w:val="348447CF"/>
    <w:rsid w:val="356D6672"/>
    <w:rsid w:val="359157BB"/>
    <w:rsid w:val="35925A4C"/>
    <w:rsid w:val="35A33D82"/>
    <w:rsid w:val="35CB781F"/>
    <w:rsid w:val="35E80F5F"/>
    <w:rsid w:val="35ED62E3"/>
    <w:rsid w:val="35F00B55"/>
    <w:rsid w:val="35F26396"/>
    <w:rsid w:val="35F7345E"/>
    <w:rsid w:val="36066F29"/>
    <w:rsid w:val="360E2923"/>
    <w:rsid w:val="36182DB6"/>
    <w:rsid w:val="36225C28"/>
    <w:rsid w:val="365A7EFF"/>
    <w:rsid w:val="3681446A"/>
    <w:rsid w:val="36BF6734"/>
    <w:rsid w:val="36C54098"/>
    <w:rsid w:val="36E12437"/>
    <w:rsid w:val="37045310"/>
    <w:rsid w:val="3746579C"/>
    <w:rsid w:val="376269DA"/>
    <w:rsid w:val="37A874AB"/>
    <w:rsid w:val="37C43C82"/>
    <w:rsid w:val="38241789"/>
    <w:rsid w:val="382A72ED"/>
    <w:rsid w:val="38416E53"/>
    <w:rsid w:val="384333D9"/>
    <w:rsid w:val="38512F93"/>
    <w:rsid w:val="385A324C"/>
    <w:rsid w:val="38972107"/>
    <w:rsid w:val="38BA57F2"/>
    <w:rsid w:val="38BB0BB8"/>
    <w:rsid w:val="38F2374C"/>
    <w:rsid w:val="391E519B"/>
    <w:rsid w:val="39306C22"/>
    <w:rsid w:val="39393639"/>
    <w:rsid w:val="39595B45"/>
    <w:rsid w:val="39627DAE"/>
    <w:rsid w:val="39856EE0"/>
    <w:rsid w:val="39DF42F1"/>
    <w:rsid w:val="3A4100D6"/>
    <w:rsid w:val="3A457566"/>
    <w:rsid w:val="3A511A9A"/>
    <w:rsid w:val="3A680FA6"/>
    <w:rsid w:val="3ABA3043"/>
    <w:rsid w:val="3B6745D7"/>
    <w:rsid w:val="3B88182B"/>
    <w:rsid w:val="3B994177"/>
    <w:rsid w:val="3BAA4343"/>
    <w:rsid w:val="3BD12AA1"/>
    <w:rsid w:val="3BFF79F8"/>
    <w:rsid w:val="3C2F24BD"/>
    <w:rsid w:val="3C510FDF"/>
    <w:rsid w:val="3C9238ED"/>
    <w:rsid w:val="3CB75047"/>
    <w:rsid w:val="3CCA4458"/>
    <w:rsid w:val="3CCF1A6B"/>
    <w:rsid w:val="3D3601EF"/>
    <w:rsid w:val="3D5F0D8E"/>
    <w:rsid w:val="3D927AFA"/>
    <w:rsid w:val="3D93671C"/>
    <w:rsid w:val="3D9912FF"/>
    <w:rsid w:val="3DB21648"/>
    <w:rsid w:val="3DBD7D92"/>
    <w:rsid w:val="3DE10FF8"/>
    <w:rsid w:val="3DF161BE"/>
    <w:rsid w:val="3DF75315"/>
    <w:rsid w:val="3E2C7CA3"/>
    <w:rsid w:val="3ECB60B2"/>
    <w:rsid w:val="3ED6196E"/>
    <w:rsid w:val="3EEE4B44"/>
    <w:rsid w:val="3F1B66E9"/>
    <w:rsid w:val="3F3C0AF7"/>
    <w:rsid w:val="3F623871"/>
    <w:rsid w:val="3FAA3636"/>
    <w:rsid w:val="3FCE162C"/>
    <w:rsid w:val="3FD95F90"/>
    <w:rsid w:val="3FDF00B1"/>
    <w:rsid w:val="3FE32597"/>
    <w:rsid w:val="3FEA5C21"/>
    <w:rsid w:val="3FEC58BB"/>
    <w:rsid w:val="40083688"/>
    <w:rsid w:val="40410F81"/>
    <w:rsid w:val="404F22D7"/>
    <w:rsid w:val="409904A5"/>
    <w:rsid w:val="40BE00BC"/>
    <w:rsid w:val="40CD6303"/>
    <w:rsid w:val="40FF5E4D"/>
    <w:rsid w:val="4147127B"/>
    <w:rsid w:val="414F0575"/>
    <w:rsid w:val="41545792"/>
    <w:rsid w:val="41FE0750"/>
    <w:rsid w:val="420137C7"/>
    <w:rsid w:val="42056400"/>
    <w:rsid w:val="42413603"/>
    <w:rsid w:val="42491E57"/>
    <w:rsid w:val="42843747"/>
    <w:rsid w:val="42C316DA"/>
    <w:rsid w:val="42CC68E1"/>
    <w:rsid w:val="42DF7DFF"/>
    <w:rsid w:val="42EB45C1"/>
    <w:rsid w:val="42F427D6"/>
    <w:rsid w:val="431D1934"/>
    <w:rsid w:val="434D0C17"/>
    <w:rsid w:val="444D47E5"/>
    <w:rsid w:val="445627BE"/>
    <w:rsid w:val="445F744E"/>
    <w:rsid w:val="449F08A5"/>
    <w:rsid w:val="44AA3253"/>
    <w:rsid w:val="45505CA2"/>
    <w:rsid w:val="45576EE1"/>
    <w:rsid w:val="456A103E"/>
    <w:rsid w:val="45BF1CFD"/>
    <w:rsid w:val="45D455FD"/>
    <w:rsid w:val="46066811"/>
    <w:rsid w:val="46281A20"/>
    <w:rsid w:val="463E248D"/>
    <w:rsid w:val="465A4268"/>
    <w:rsid w:val="46B41512"/>
    <w:rsid w:val="46B96195"/>
    <w:rsid w:val="46CE7401"/>
    <w:rsid w:val="46E04D8E"/>
    <w:rsid w:val="47041E67"/>
    <w:rsid w:val="471F282B"/>
    <w:rsid w:val="472B2A48"/>
    <w:rsid w:val="47345D4D"/>
    <w:rsid w:val="47461F57"/>
    <w:rsid w:val="47490F15"/>
    <w:rsid w:val="47816CF4"/>
    <w:rsid w:val="47A973A6"/>
    <w:rsid w:val="48021BB3"/>
    <w:rsid w:val="489C6A6B"/>
    <w:rsid w:val="48DB08B9"/>
    <w:rsid w:val="492339D1"/>
    <w:rsid w:val="4927658B"/>
    <w:rsid w:val="49360C9A"/>
    <w:rsid w:val="49476CEB"/>
    <w:rsid w:val="49514751"/>
    <w:rsid w:val="499D07AC"/>
    <w:rsid w:val="4A1F72A1"/>
    <w:rsid w:val="4A544059"/>
    <w:rsid w:val="4A55718F"/>
    <w:rsid w:val="4A9057D8"/>
    <w:rsid w:val="4AFC2D50"/>
    <w:rsid w:val="4B311FFE"/>
    <w:rsid w:val="4B6B1920"/>
    <w:rsid w:val="4B7524CA"/>
    <w:rsid w:val="4B767FA3"/>
    <w:rsid w:val="4B85583B"/>
    <w:rsid w:val="4B972C05"/>
    <w:rsid w:val="4BF87D9F"/>
    <w:rsid w:val="4C166CE2"/>
    <w:rsid w:val="4C4A6435"/>
    <w:rsid w:val="4C4C68F7"/>
    <w:rsid w:val="4C6E0875"/>
    <w:rsid w:val="4CA057A6"/>
    <w:rsid w:val="4CAE7BB8"/>
    <w:rsid w:val="4CB2316E"/>
    <w:rsid w:val="4CB558D0"/>
    <w:rsid w:val="4CD06A16"/>
    <w:rsid w:val="4CE35245"/>
    <w:rsid w:val="4CE37E7C"/>
    <w:rsid w:val="4D0105FB"/>
    <w:rsid w:val="4D574E12"/>
    <w:rsid w:val="4D6C0AAB"/>
    <w:rsid w:val="4D7642E1"/>
    <w:rsid w:val="4D7713C5"/>
    <w:rsid w:val="4E327181"/>
    <w:rsid w:val="4EA27C79"/>
    <w:rsid w:val="4ED14E2C"/>
    <w:rsid w:val="4EF02CA6"/>
    <w:rsid w:val="4F504945"/>
    <w:rsid w:val="4F6C67E0"/>
    <w:rsid w:val="50286FF7"/>
    <w:rsid w:val="504764E7"/>
    <w:rsid w:val="504F1773"/>
    <w:rsid w:val="50EB4758"/>
    <w:rsid w:val="50F223E0"/>
    <w:rsid w:val="51125325"/>
    <w:rsid w:val="513B2B55"/>
    <w:rsid w:val="51683726"/>
    <w:rsid w:val="51690EC1"/>
    <w:rsid w:val="51A472B6"/>
    <w:rsid w:val="523A517B"/>
    <w:rsid w:val="524B29DA"/>
    <w:rsid w:val="52A92D81"/>
    <w:rsid w:val="52E461A6"/>
    <w:rsid w:val="53036CCB"/>
    <w:rsid w:val="533A2F94"/>
    <w:rsid w:val="53456AC4"/>
    <w:rsid w:val="536F03B5"/>
    <w:rsid w:val="53B6373B"/>
    <w:rsid w:val="53F02783"/>
    <w:rsid w:val="541C4A00"/>
    <w:rsid w:val="54215A5A"/>
    <w:rsid w:val="543C11D4"/>
    <w:rsid w:val="54517577"/>
    <w:rsid w:val="54937413"/>
    <w:rsid w:val="54AC03FE"/>
    <w:rsid w:val="54CA5817"/>
    <w:rsid w:val="54D12D1C"/>
    <w:rsid w:val="54E24574"/>
    <w:rsid w:val="54F61E68"/>
    <w:rsid w:val="54FB3594"/>
    <w:rsid w:val="557F2350"/>
    <w:rsid w:val="55EC5AF3"/>
    <w:rsid w:val="55FA60EA"/>
    <w:rsid w:val="560E2A5E"/>
    <w:rsid w:val="565B6806"/>
    <w:rsid w:val="56C8515D"/>
    <w:rsid w:val="56DA53A8"/>
    <w:rsid w:val="56FF03A9"/>
    <w:rsid w:val="57111B8D"/>
    <w:rsid w:val="57175C72"/>
    <w:rsid w:val="571F0AF5"/>
    <w:rsid w:val="57973960"/>
    <w:rsid w:val="57AA6A5E"/>
    <w:rsid w:val="580B4523"/>
    <w:rsid w:val="58610AAC"/>
    <w:rsid w:val="58656A3B"/>
    <w:rsid w:val="58684E48"/>
    <w:rsid w:val="58791022"/>
    <w:rsid w:val="592D42FA"/>
    <w:rsid w:val="595A1A97"/>
    <w:rsid w:val="5A115C21"/>
    <w:rsid w:val="5A3F06E7"/>
    <w:rsid w:val="5A462C73"/>
    <w:rsid w:val="5A825A8F"/>
    <w:rsid w:val="5ADC46E5"/>
    <w:rsid w:val="5AEF44A1"/>
    <w:rsid w:val="5B0F3E7E"/>
    <w:rsid w:val="5BD05C59"/>
    <w:rsid w:val="5C0858E4"/>
    <w:rsid w:val="5C4541F2"/>
    <w:rsid w:val="5C8D71E5"/>
    <w:rsid w:val="5CBB670E"/>
    <w:rsid w:val="5CDD2642"/>
    <w:rsid w:val="5D0D4780"/>
    <w:rsid w:val="5D513064"/>
    <w:rsid w:val="5D61302E"/>
    <w:rsid w:val="5D6A7AD9"/>
    <w:rsid w:val="5D816A62"/>
    <w:rsid w:val="5D8222D6"/>
    <w:rsid w:val="5DB64045"/>
    <w:rsid w:val="5DC149BA"/>
    <w:rsid w:val="5DC8654B"/>
    <w:rsid w:val="5E03188C"/>
    <w:rsid w:val="5E533FBE"/>
    <w:rsid w:val="5E602B9A"/>
    <w:rsid w:val="5E606E34"/>
    <w:rsid w:val="5E8D2EB2"/>
    <w:rsid w:val="5EB408CE"/>
    <w:rsid w:val="5EC12295"/>
    <w:rsid w:val="5EE16EEE"/>
    <w:rsid w:val="5EF15F3F"/>
    <w:rsid w:val="5F23461E"/>
    <w:rsid w:val="5F680E9D"/>
    <w:rsid w:val="5F78098A"/>
    <w:rsid w:val="5F815DE6"/>
    <w:rsid w:val="5F9B5B6A"/>
    <w:rsid w:val="5FA708B9"/>
    <w:rsid w:val="5FEE072A"/>
    <w:rsid w:val="60054A9E"/>
    <w:rsid w:val="6017674D"/>
    <w:rsid w:val="602E4AB8"/>
    <w:rsid w:val="609B5B92"/>
    <w:rsid w:val="60A02906"/>
    <w:rsid w:val="60A831E8"/>
    <w:rsid w:val="60F34E8C"/>
    <w:rsid w:val="61BC3D37"/>
    <w:rsid w:val="61E07FD2"/>
    <w:rsid w:val="61F32A89"/>
    <w:rsid w:val="624E4C69"/>
    <w:rsid w:val="625D1448"/>
    <w:rsid w:val="6281460C"/>
    <w:rsid w:val="62A556D2"/>
    <w:rsid w:val="62C82A2C"/>
    <w:rsid w:val="62D2559B"/>
    <w:rsid w:val="635E4C32"/>
    <w:rsid w:val="63857C61"/>
    <w:rsid w:val="639962CA"/>
    <w:rsid w:val="63BC5875"/>
    <w:rsid w:val="63C405FB"/>
    <w:rsid w:val="63FF1EA7"/>
    <w:rsid w:val="64322A73"/>
    <w:rsid w:val="6479221E"/>
    <w:rsid w:val="649D6179"/>
    <w:rsid w:val="64E560D8"/>
    <w:rsid w:val="64F17EC6"/>
    <w:rsid w:val="652F2A99"/>
    <w:rsid w:val="653D6FBD"/>
    <w:rsid w:val="65456DD4"/>
    <w:rsid w:val="65623E7F"/>
    <w:rsid w:val="658E44A6"/>
    <w:rsid w:val="65A53345"/>
    <w:rsid w:val="65A54D61"/>
    <w:rsid w:val="65B92AD3"/>
    <w:rsid w:val="666D6AC0"/>
    <w:rsid w:val="668A3D9C"/>
    <w:rsid w:val="669B2CDE"/>
    <w:rsid w:val="66C52647"/>
    <w:rsid w:val="670E7F35"/>
    <w:rsid w:val="671A6F15"/>
    <w:rsid w:val="672030D2"/>
    <w:rsid w:val="674E76FD"/>
    <w:rsid w:val="67743390"/>
    <w:rsid w:val="67DC3D19"/>
    <w:rsid w:val="682E1792"/>
    <w:rsid w:val="68322492"/>
    <w:rsid w:val="683A7D88"/>
    <w:rsid w:val="688242A5"/>
    <w:rsid w:val="68B96722"/>
    <w:rsid w:val="68C8243B"/>
    <w:rsid w:val="692311A8"/>
    <w:rsid w:val="69434333"/>
    <w:rsid w:val="69910F3F"/>
    <w:rsid w:val="69D90FE5"/>
    <w:rsid w:val="69E03B05"/>
    <w:rsid w:val="69E70FA6"/>
    <w:rsid w:val="69F17B94"/>
    <w:rsid w:val="6A1E67B3"/>
    <w:rsid w:val="6A5701BE"/>
    <w:rsid w:val="6A650C79"/>
    <w:rsid w:val="6A662EBF"/>
    <w:rsid w:val="6A7B1B63"/>
    <w:rsid w:val="6A8934DE"/>
    <w:rsid w:val="6AA56BE1"/>
    <w:rsid w:val="6AB20B7E"/>
    <w:rsid w:val="6AE74482"/>
    <w:rsid w:val="6AF03D4F"/>
    <w:rsid w:val="6B484A8E"/>
    <w:rsid w:val="6B893C35"/>
    <w:rsid w:val="6B977288"/>
    <w:rsid w:val="6BEE463A"/>
    <w:rsid w:val="6C1017A5"/>
    <w:rsid w:val="6C6D7F56"/>
    <w:rsid w:val="6C855D1D"/>
    <w:rsid w:val="6C8713F8"/>
    <w:rsid w:val="6C8D37B0"/>
    <w:rsid w:val="6C9848F5"/>
    <w:rsid w:val="6CC06D2D"/>
    <w:rsid w:val="6CDE1BCA"/>
    <w:rsid w:val="6D281474"/>
    <w:rsid w:val="6D33299A"/>
    <w:rsid w:val="6D3726F3"/>
    <w:rsid w:val="6D673227"/>
    <w:rsid w:val="6D9E5520"/>
    <w:rsid w:val="6DD313A6"/>
    <w:rsid w:val="6DEC48C9"/>
    <w:rsid w:val="6E0A5DA6"/>
    <w:rsid w:val="6E1E6CF0"/>
    <w:rsid w:val="6E2A49F6"/>
    <w:rsid w:val="6E9A20D8"/>
    <w:rsid w:val="6EEC25C8"/>
    <w:rsid w:val="6F024046"/>
    <w:rsid w:val="6F4D0F65"/>
    <w:rsid w:val="6FA34CCF"/>
    <w:rsid w:val="6FCE308D"/>
    <w:rsid w:val="700C4F97"/>
    <w:rsid w:val="70537876"/>
    <w:rsid w:val="709538BA"/>
    <w:rsid w:val="70B214C2"/>
    <w:rsid w:val="70D0360C"/>
    <w:rsid w:val="70FA71D7"/>
    <w:rsid w:val="71186560"/>
    <w:rsid w:val="71186741"/>
    <w:rsid w:val="7142142B"/>
    <w:rsid w:val="71A12D9E"/>
    <w:rsid w:val="71B85CFC"/>
    <w:rsid w:val="71D10158"/>
    <w:rsid w:val="720473DB"/>
    <w:rsid w:val="720F27F8"/>
    <w:rsid w:val="72856F70"/>
    <w:rsid w:val="72927F5F"/>
    <w:rsid w:val="731260B1"/>
    <w:rsid w:val="73311A12"/>
    <w:rsid w:val="736A6BA8"/>
    <w:rsid w:val="73871A8C"/>
    <w:rsid w:val="73945741"/>
    <w:rsid w:val="739C52D2"/>
    <w:rsid w:val="73AB0480"/>
    <w:rsid w:val="73E75FA8"/>
    <w:rsid w:val="73F14C3F"/>
    <w:rsid w:val="74263BA5"/>
    <w:rsid w:val="74AD2C47"/>
    <w:rsid w:val="74B8216F"/>
    <w:rsid w:val="75516FBF"/>
    <w:rsid w:val="75541DE8"/>
    <w:rsid w:val="75703559"/>
    <w:rsid w:val="75A83F2A"/>
    <w:rsid w:val="75CC116C"/>
    <w:rsid w:val="75DD162E"/>
    <w:rsid w:val="75FC4FEC"/>
    <w:rsid w:val="76997F72"/>
    <w:rsid w:val="76A61A5E"/>
    <w:rsid w:val="76D642F3"/>
    <w:rsid w:val="77204120"/>
    <w:rsid w:val="77616765"/>
    <w:rsid w:val="777D1EFE"/>
    <w:rsid w:val="778266E5"/>
    <w:rsid w:val="779655C3"/>
    <w:rsid w:val="77C5013F"/>
    <w:rsid w:val="77E465EE"/>
    <w:rsid w:val="78354F38"/>
    <w:rsid w:val="78623117"/>
    <w:rsid w:val="787F4360"/>
    <w:rsid w:val="78A848AE"/>
    <w:rsid w:val="78B24B0C"/>
    <w:rsid w:val="78E375B8"/>
    <w:rsid w:val="7918574B"/>
    <w:rsid w:val="792C0BA9"/>
    <w:rsid w:val="796B14C9"/>
    <w:rsid w:val="798F5723"/>
    <w:rsid w:val="7A165DDF"/>
    <w:rsid w:val="7A4A186E"/>
    <w:rsid w:val="7A4F7F8A"/>
    <w:rsid w:val="7A6577BF"/>
    <w:rsid w:val="7AB26EBC"/>
    <w:rsid w:val="7AE349BA"/>
    <w:rsid w:val="7B0757D4"/>
    <w:rsid w:val="7B1D2D4F"/>
    <w:rsid w:val="7B4219FA"/>
    <w:rsid w:val="7B590F68"/>
    <w:rsid w:val="7B6539BF"/>
    <w:rsid w:val="7B6F02B9"/>
    <w:rsid w:val="7B7013E2"/>
    <w:rsid w:val="7B9B28A0"/>
    <w:rsid w:val="7C2E6162"/>
    <w:rsid w:val="7C58760F"/>
    <w:rsid w:val="7C5D6AA0"/>
    <w:rsid w:val="7CB85F12"/>
    <w:rsid w:val="7D0077DC"/>
    <w:rsid w:val="7D467E73"/>
    <w:rsid w:val="7D6B7A54"/>
    <w:rsid w:val="7D752A06"/>
    <w:rsid w:val="7D997D70"/>
    <w:rsid w:val="7DB512E1"/>
    <w:rsid w:val="7DBB04FE"/>
    <w:rsid w:val="7DFE42C4"/>
    <w:rsid w:val="7E2D6AE0"/>
    <w:rsid w:val="7E304553"/>
    <w:rsid w:val="7E75322D"/>
    <w:rsid w:val="7E7A12A4"/>
    <w:rsid w:val="7E973D2C"/>
    <w:rsid w:val="7EE23584"/>
    <w:rsid w:val="7F352EC3"/>
    <w:rsid w:val="7F5B3EAD"/>
    <w:rsid w:val="7F6F58F7"/>
    <w:rsid w:val="7F98663A"/>
    <w:rsid w:val="7FA04839"/>
    <w:rsid w:val="7FCF659E"/>
    <w:rsid w:val="7FD73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184</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2020-05-22T05:47:51Z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